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E8" w:rsidRPr="00621CD3" w:rsidRDefault="00621CD3" w:rsidP="00621CD3">
      <w:pPr>
        <w:rPr>
          <w:rFonts w:asciiTheme="minorHAnsi" w:hAnsiTheme="minorHAnsi"/>
        </w:rPr>
      </w:pPr>
      <w:r w:rsidRPr="00621CD3">
        <w:rPr>
          <w:rFonts w:asciiTheme="minorHAnsi" w:hAnsiTheme="minorHAnsi"/>
          <w:b/>
          <w:bCs/>
          <w:sz w:val="24"/>
          <w:szCs w:val="23"/>
        </w:rPr>
        <w:t>Documentación justificativa de la contratación (Ley 9/2017 de Contratos del Sector Público)</w:t>
      </w:r>
    </w:p>
    <w:tbl>
      <w:tblPr>
        <w:tblW w:w="5000" w:type="pct"/>
        <w:tblCellMar>
          <w:left w:w="70" w:type="dxa"/>
          <w:right w:w="70" w:type="dxa"/>
        </w:tblCellMar>
        <w:tblLook w:val="04A0" w:firstRow="1" w:lastRow="0" w:firstColumn="1" w:lastColumn="0" w:noHBand="0" w:noVBand="1"/>
      </w:tblPr>
      <w:tblGrid>
        <w:gridCol w:w="2915"/>
        <w:gridCol w:w="1938"/>
        <w:gridCol w:w="1907"/>
        <w:gridCol w:w="1989"/>
        <w:gridCol w:w="2054"/>
        <w:gridCol w:w="3341"/>
      </w:tblGrid>
      <w:tr w:rsidR="00621CD3" w:rsidRPr="00621CD3" w:rsidTr="00410465">
        <w:trPr>
          <w:trHeight w:val="1275"/>
          <w:tblHeader/>
        </w:trPr>
        <w:tc>
          <w:tcPr>
            <w:tcW w:w="1031" w:type="pct"/>
            <w:tcBorders>
              <w:top w:val="single" w:sz="4" w:space="0" w:color="auto"/>
              <w:left w:val="single" w:sz="4" w:space="0" w:color="auto"/>
              <w:bottom w:val="single" w:sz="4" w:space="0" w:color="auto"/>
              <w:right w:val="single" w:sz="4" w:space="0" w:color="auto"/>
            </w:tcBorders>
            <w:shd w:val="clear" w:color="000000" w:fill="EEECE1"/>
            <w:vAlign w:val="center"/>
            <w:hideMark/>
          </w:tcPr>
          <w:p w:rsidR="00621CD3" w:rsidRPr="00621CD3" w:rsidRDefault="00621CD3" w:rsidP="00621CD3">
            <w:pPr>
              <w:jc w:val="center"/>
              <w:rPr>
                <w:rFonts w:asciiTheme="minorHAnsi" w:hAnsiTheme="minorHAnsi" w:cs="Arial"/>
                <w:b/>
                <w:bCs/>
                <w:color w:val="000000"/>
                <w:szCs w:val="20"/>
                <w:lang w:val="es-ES_tradnl" w:eastAsia="es-ES_tradnl"/>
              </w:rPr>
            </w:pPr>
            <w:r w:rsidRPr="00621CD3">
              <w:rPr>
                <w:rFonts w:asciiTheme="minorHAnsi" w:hAnsiTheme="minorHAnsi" w:cs="Arial"/>
                <w:b/>
                <w:bCs/>
                <w:color w:val="000000"/>
                <w:szCs w:val="20"/>
                <w:lang w:val="es-ES_tradnl" w:eastAsia="es-ES_tradnl"/>
              </w:rPr>
              <w:t xml:space="preserve">PROCEDIMIENTO ABIERTO </w:t>
            </w:r>
          </w:p>
        </w:tc>
        <w:tc>
          <w:tcPr>
            <w:tcW w:w="685" w:type="pct"/>
            <w:tcBorders>
              <w:top w:val="single" w:sz="4" w:space="0" w:color="auto"/>
              <w:left w:val="nil"/>
              <w:bottom w:val="single" w:sz="4" w:space="0" w:color="auto"/>
              <w:right w:val="single" w:sz="4" w:space="0" w:color="auto"/>
            </w:tcBorders>
            <w:shd w:val="clear" w:color="000000" w:fill="EEECE1"/>
            <w:vAlign w:val="center"/>
            <w:hideMark/>
          </w:tcPr>
          <w:p w:rsidR="00621CD3" w:rsidRPr="00621CD3" w:rsidRDefault="00621CD3" w:rsidP="00621CD3">
            <w:pPr>
              <w:jc w:val="center"/>
              <w:rPr>
                <w:rFonts w:asciiTheme="minorHAnsi" w:hAnsiTheme="minorHAnsi" w:cs="Arial"/>
                <w:b/>
                <w:bCs/>
                <w:color w:val="000000"/>
                <w:szCs w:val="20"/>
                <w:lang w:val="es-ES_tradnl" w:eastAsia="es-ES_tradnl"/>
              </w:rPr>
            </w:pPr>
            <w:r w:rsidRPr="00621CD3">
              <w:rPr>
                <w:rFonts w:asciiTheme="minorHAnsi" w:hAnsiTheme="minorHAnsi" w:cs="Arial"/>
                <w:b/>
                <w:bCs/>
                <w:color w:val="000000"/>
                <w:szCs w:val="20"/>
                <w:lang w:val="es-ES_tradnl" w:eastAsia="es-ES_tradnl"/>
              </w:rPr>
              <w:t>PROCEDIMIENTO ABIERTO SIMPLIFICADO (Introducido por la Ley 9/2017: art 159)</w:t>
            </w:r>
          </w:p>
        </w:tc>
        <w:tc>
          <w:tcPr>
            <w:tcW w:w="674" w:type="pct"/>
            <w:tcBorders>
              <w:top w:val="single" w:sz="4" w:space="0" w:color="auto"/>
              <w:left w:val="nil"/>
              <w:bottom w:val="single" w:sz="4" w:space="0" w:color="auto"/>
              <w:right w:val="single" w:sz="4" w:space="0" w:color="auto"/>
            </w:tcBorders>
            <w:shd w:val="clear" w:color="000000" w:fill="EEECE1"/>
            <w:vAlign w:val="center"/>
            <w:hideMark/>
          </w:tcPr>
          <w:p w:rsidR="00621CD3" w:rsidRPr="00621CD3" w:rsidRDefault="00621CD3" w:rsidP="00621CD3">
            <w:pPr>
              <w:jc w:val="center"/>
              <w:rPr>
                <w:rFonts w:asciiTheme="minorHAnsi" w:hAnsiTheme="minorHAnsi" w:cs="Arial"/>
                <w:b/>
                <w:bCs/>
                <w:color w:val="000000"/>
                <w:szCs w:val="20"/>
                <w:lang w:val="es-ES_tradnl" w:eastAsia="es-ES_tradnl"/>
              </w:rPr>
            </w:pPr>
            <w:r w:rsidRPr="00621CD3">
              <w:rPr>
                <w:rFonts w:asciiTheme="minorHAnsi" w:hAnsiTheme="minorHAnsi" w:cs="Arial"/>
                <w:b/>
                <w:bCs/>
                <w:color w:val="000000"/>
                <w:szCs w:val="20"/>
                <w:lang w:val="es-ES_tradnl" w:eastAsia="es-ES_tradnl"/>
              </w:rPr>
              <w:t>PROCEDIMIENTO ABIERTO SUPERSIMPLIFICADO (Introducido por la Ley 9/2017: art 159.6)</w:t>
            </w:r>
          </w:p>
        </w:tc>
        <w:tc>
          <w:tcPr>
            <w:tcW w:w="703" w:type="pct"/>
            <w:tcBorders>
              <w:top w:val="single" w:sz="4" w:space="0" w:color="auto"/>
              <w:left w:val="nil"/>
              <w:bottom w:val="single" w:sz="4" w:space="0" w:color="auto"/>
              <w:right w:val="single" w:sz="4" w:space="0" w:color="auto"/>
            </w:tcBorders>
            <w:shd w:val="clear" w:color="000000" w:fill="EEECE1"/>
            <w:vAlign w:val="center"/>
            <w:hideMark/>
          </w:tcPr>
          <w:p w:rsidR="00621CD3" w:rsidRPr="00621CD3" w:rsidRDefault="00621CD3" w:rsidP="00621CD3">
            <w:pPr>
              <w:jc w:val="center"/>
              <w:rPr>
                <w:rFonts w:asciiTheme="minorHAnsi" w:hAnsiTheme="minorHAnsi" w:cs="Arial"/>
                <w:b/>
                <w:bCs/>
                <w:color w:val="000000"/>
                <w:szCs w:val="20"/>
                <w:lang w:val="es-ES_tradnl" w:eastAsia="es-ES_tradnl"/>
              </w:rPr>
            </w:pPr>
            <w:r w:rsidRPr="00621CD3">
              <w:rPr>
                <w:rFonts w:asciiTheme="minorHAnsi" w:hAnsiTheme="minorHAnsi" w:cs="Arial"/>
                <w:b/>
                <w:bCs/>
                <w:color w:val="000000"/>
                <w:szCs w:val="20"/>
                <w:lang w:val="es-ES_tradnl" w:eastAsia="es-ES_tradnl"/>
              </w:rPr>
              <w:t xml:space="preserve">PROCEDIMIENTO RESTRINGIDO </w:t>
            </w:r>
          </w:p>
        </w:tc>
        <w:tc>
          <w:tcPr>
            <w:tcW w:w="726" w:type="pct"/>
            <w:tcBorders>
              <w:top w:val="single" w:sz="4" w:space="0" w:color="auto"/>
              <w:left w:val="nil"/>
              <w:bottom w:val="single" w:sz="4" w:space="0" w:color="auto"/>
              <w:right w:val="single" w:sz="4" w:space="0" w:color="auto"/>
            </w:tcBorders>
            <w:shd w:val="clear" w:color="000000" w:fill="EEECE1"/>
            <w:vAlign w:val="center"/>
            <w:hideMark/>
          </w:tcPr>
          <w:p w:rsidR="00621CD3" w:rsidRPr="00621CD3" w:rsidRDefault="00621CD3" w:rsidP="00621CD3">
            <w:pPr>
              <w:jc w:val="center"/>
              <w:rPr>
                <w:rFonts w:asciiTheme="minorHAnsi" w:hAnsiTheme="minorHAnsi" w:cs="Arial"/>
                <w:b/>
                <w:bCs/>
                <w:color w:val="000000"/>
                <w:szCs w:val="20"/>
                <w:lang w:val="es-ES_tradnl" w:eastAsia="es-ES_tradnl"/>
              </w:rPr>
            </w:pPr>
            <w:r w:rsidRPr="00621CD3">
              <w:rPr>
                <w:rFonts w:asciiTheme="minorHAnsi" w:hAnsiTheme="minorHAnsi" w:cs="Arial"/>
                <w:b/>
                <w:bCs/>
                <w:color w:val="000000"/>
                <w:szCs w:val="20"/>
                <w:lang w:val="es-ES_tradnl" w:eastAsia="es-ES_tradnl"/>
              </w:rPr>
              <w:t xml:space="preserve">PROCEDIMIENTO NEGOCIADO CON PUBLICIDAD </w:t>
            </w:r>
          </w:p>
        </w:tc>
        <w:tc>
          <w:tcPr>
            <w:tcW w:w="1181" w:type="pct"/>
            <w:tcBorders>
              <w:top w:val="single" w:sz="4" w:space="0" w:color="auto"/>
              <w:left w:val="nil"/>
              <w:bottom w:val="single" w:sz="4" w:space="0" w:color="auto"/>
              <w:right w:val="single" w:sz="4" w:space="0" w:color="auto"/>
            </w:tcBorders>
            <w:shd w:val="clear" w:color="000000" w:fill="EEECE1"/>
            <w:vAlign w:val="center"/>
            <w:hideMark/>
          </w:tcPr>
          <w:p w:rsidR="00621CD3" w:rsidRPr="00621CD3" w:rsidRDefault="00621CD3" w:rsidP="00621CD3">
            <w:pPr>
              <w:jc w:val="center"/>
              <w:rPr>
                <w:rFonts w:asciiTheme="minorHAnsi" w:hAnsiTheme="minorHAnsi" w:cs="Arial"/>
                <w:b/>
                <w:bCs/>
                <w:color w:val="000000"/>
                <w:szCs w:val="20"/>
                <w:lang w:val="es-ES_tradnl" w:eastAsia="es-ES_tradnl"/>
              </w:rPr>
            </w:pPr>
            <w:r w:rsidRPr="00621CD3">
              <w:rPr>
                <w:rFonts w:asciiTheme="minorHAnsi" w:hAnsiTheme="minorHAnsi" w:cs="Arial"/>
                <w:b/>
                <w:bCs/>
                <w:color w:val="000000"/>
                <w:szCs w:val="20"/>
                <w:lang w:val="es-ES_tradnl" w:eastAsia="es-ES_tradnl"/>
              </w:rPr>
              <w:t xml:space="preserve">PROCEDIMIENTO NEGOCIADO SIN PUBLICIDAD </w:t>
            </w:r>
          </w:p>
        </w:tc>
      </w:tr>
      <w:tr w:rsidR="00621CD3" w:rsidRPr="00621CD3" w:rsidTr="00621CD3">
        <w:trPr>
          <w:trHeight w:val="1020"/>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Anuncios de licitación (perfil del contratante y BOE/DOUE)</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Anuncios de licitación en perfil del contratante</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Anuncios de licitación en perfil del contratante</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 Anuncios de licitación (perfil del contratante y BOE/DOUE)</w:t>
            </w:r>
            <w:r w:rsidRPr="00621CD3">
              <w:rPr>
                <w:rFonts w:asciiTheme="minorHAnsi" w:hAnsiTheme="minorHAnsi" w:cs="Arial"/>
                <w:color w:val="000000"/>
                <w:szCs w:val="20"/>
                <w:lang w:val="es-ES_tradnl" w:eastAsia="es-ES_tradnl"/>
              </w:rPr>
              <w:br/>
              <w:t>* Invitaciones cursadas</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 Anuncios de licitación (perfil del contratante y BOE/DOUE)</w:t>
            </w:r>
            <w:r w:rsidRPr="00621CD3">
              <w:rPr>
                <w:rFonts w:asciiTheme="minorHAnsi" w:hAnsiTheme="minorHAnsi" w:cs="Arial"/>
                <w:color w:val="000000"/>
                <w:szCs w:val="20"/>
                <w:lang w:val="es-ES_tradnl" w:eastAsia="es-ES_tradnl"/>
              </w:rPr>
              <w:br/>
              <w:t>* Invitaciones cursadas</w:t>
            </w:r>
          </w:p>
        </w:tc>
        <w:tc>
          <w:tcPr>
            <w:tcW w:w="1181" w:type="pct"/>
            <w:tcBorders>
              <w:top w:val="nil"/>
              <w:left w:val="nil"/>
              <w:bottom w:val="single" w:sz="4" w:space="0" w:color="auto"/>
              <w:right w:val="single" w:sz="4" w:space="0" w:color="auto"/>
            </w:tcBorders>
            <w:shd w:val="clear" w:color="auto" w:fill="auto"/>
            <w:noWrap/>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Invitaciones cursadas</w:t>
            </w:r>
          </w:p>
        </w:tc>
      </w:tr>
      <w:tr w:rsidR="00621CD3" w:rsidRPr="00621CD3" w:rsidTr="00621CD3">
        <w:trPr>
          <w:trHeight w:val="4335"/>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Pliego de cláusulas administrativas particulares</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Pliego de cláusulas administrativas particulares</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Pliego de cláusulas administrativas particulares</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Pliego de cláusulas administrativas particulares</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Pliego de cláusulas administrativas particulares</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b/>
                <w:bCs/>
                <w:szCs w:val="20"/>
                <w:lang w:val="es-ES_tradnl" w:eastAsia="es-ES_tradnl"/>
              </w:rPr>
              <w:t>1)</w:t>
            </w:r>
            <w:r w:rsidRPr="00621CD3">
              <w:rPr>
                <w:rFonts w:asciiTheme="minorHAnsi" w:hAnsiTheme="minorHAnsi" w:cs="Arial"/>
                <w:szCs w:val="20"/>
                <w:lang w:val="es-ES_tradnl" w:eastAsia="es-ES_tradnl"/>
              </w:rPr>
              <w:t xml:space="preserve"> Pliego de cláusulas administrativas particulares. </w:t>
            </w:r>
            <w:r w:rsidRPr="00621CD3">
              <w:rPr>
                <w:rFonts w:asciiTheme="minorHAnsi" w:hAnsiTheme="minorHAnsi" w:cs="Arial"/>
                <w:szCs w:val="20"/>
                <w:lang w:val="es-ES_tradnl" w:eastAsia="es-ES_tradnl"/>
              </w:rPr>
              <w:br/>
            </w:r>
            <w:r w:rsidRPr="00621CD3">
              <w:rPr>
                <w:rFonts w:asciiTheme="minorHAnsi" w:hAnsiTheme="minorHAnsi" w:cs="Arial"/>
                <w:b/>
                <w:bCs/>
                <w:szCs w:val="20"/>
                <w:lang w:val="es-ES_tradnl" w:eastAsia="es-ES_tradnl"/>
              </w:rPr>
              <w:t>2)</w:t>
            </w:r>
            <w:r w:rsidRPr="00621CD3">
              <w:rPr>
                <w:rFonts w:asciiTheme="minorHAnsi" w:hAnsiTheme="minorHAnsi" w:cs="Arial"/>
                <w:szCs w:val="20"/>
                <w:lang w:val="es-ES_tradnl" w:eastAsia="es-ES_tradnl"/>
              </w:rPr>
              <w:t xml:space="preserve"> Certificado del órgano de </w:t>
            </w:r>
            <w:proofErr w:type="gramStart"/>
            <w:r w:rsidRPr="00621CD3">
              <w:rPr>
                <w:rFonts w:asciiTheme="minorHAnsi" w:hAnsiTheme="minorHAnsi" w:cs="Arial"/>
                <w:szCs w:val="20"/>
                <w:lang w:val="es-ES_tradnl" w:eastAsia="es-ES_tradnl"/>
              </w:rPr>
              <w:t>contratación ,</w:t>
            </w:r>
            <w:proofErr w:type="gramEnd"/>
            <w:r w:rsidRPr="00621CD3">
              <w:rPr>
                <w:rFonts w:asciiTheme="minorHAnsi" w:hAnsiTheme="minorHAnsi" w:cs="Arial"/>
                <w:szCs w:val="20"/>
                <w:lang w:val="es-ES_tradnl" w:eastAsia="es-ES_tradnl"/>
              </w:rPr>
              <w:t xml:space="preserve"> que justifique de forma indubitada que concurre alguno de los supuestos legalmente previstos  para utilizar este procedimiento.  No se admitirán las justificaciones firmadas por persona distinta de las indicadas. </w:t>
            </w:r>
            <w:r w:rsidRPr="00621CD3">
              <w:rPr>
                <w:rFonts w:asciiTheme="minorHAnsi" w:hAnsiTheme="minorHAnsi" w:cs="Arial"/>
                <w:szCs w:val="20"/>
                <w:lang w:val="es-ES_tradnl" w:eastAsia="es-ES_tradnl"/>
              </w:rPr>
              <w:br/>
            </w:r>
            <w:r w:rsidRPr="00621CD3">
              <w:rPr>
                <w:rFonts w:asciiTheme="minorHAnsi" w:hAnsiTheme="minorHAnsi" w:cs="Arial"/>
                <w:b/>
                <w:bCs/>
                <w:szCs w:val="20"/>
                <w:lang w:val="es-ES_tradnl" w:eastAsia="es-ES_tradnl"/>
              </w:rPr>
              <w:t>3)</w:t>
            </w:r>
            <w:r w:rsidRPr="00621CD3">
              <w:rPr>
                <w:rFonts w:asciiTheme="minorHAnsi" w:hAnsiTheme="minorHAnsi" w:cs="Arial"/>
                <w:szCs w:val="20"/>
                <w:lang w:val="es-ES_tradnl" w:eastAsia="es-ES_tradnl"/>
              </w:rPr>
              <w:t xml:space="preserve"> Además, cuando el contrato sólo pueda ser adjudicado a un empresario determinado por razones técnicas (exclusividad), deberá acompañarse  un certificado emitido por un técnico sin vinculación con  la empresa adjudicataria, en el cual se acredite efectivamente que ésta es la única que puede realizar el objeto del contrato. </w:t>
            </w:r>
          </w:p>
        </w:tc>
      </w:tr>
      <w:tr w:rsidR="00621CD3" w:rsidRPr="00621CD3" w:rsidTr="00621CD3">
        <w:trPr>
          <w:trHeight w:val="1275"/>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lastRenderedPageBreak/>
              <w:t>Informe favorable del servicio jurídico sobre el pliego de cláusulas administrativas particulares</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Informe favorable del servicio jurídico sobre el pliego de cláusulas administrativas particulares</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Informe favorable del servicio jurídico sobre el pliego de cláusulas administrativas particulares</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Informe favorable del servicio jurídico sobre el pliego de cláusulas administrativas particulares</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Informe favorable del servicio jurídico sobre el pliego de cláusulas administrativas particulares</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Informe favorable del servicio jurídico sobre el pliego de cláusulas administrativas particulares.</w:t>
            </w:r>
          </w:p>
        </w:tc>
      </w:tr>
      <w:tr w:rsidR="00621CD3" w:rsidRPr="00621CD3" w:rsidTr="00621CD3">
        <w:trPr>
          <w:trHeight w:val="765"/>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Dirección web en la que se puede acceder al perfil del contratante</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Dirección web en la que se puede acceder al perfil del contratante</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Dirección web en la que se puede acceder al perfil del contratante</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Dirección web en la que se puede acceder al perfil del contratante</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Dirección web en la que se puede acceder al perfil del contratante</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Dirección web en la que se puede acceder al perfil del contratante</w:t>
            </w:r>
          </w:p>
        </w:tc>
      </w:tr>
      <w:tr w:rsidR="00621CD3" w:rsidRPr="00621CD3" w:rsidTr="00621CD3">
        <w:trPr>
          <w:trHeight w:val="1785"/>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o documento del registro de la oficina receptora donde conste el momento de presentación de proposiciones</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o documento del registro de la oficina receptora donde conste el momento de presentación de proposiciones</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o documento del registro de la oficina receptora donde conste el momento de presentación de proposiciones</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o documento del registro de la oficina receptora donde conste el momento de presentación de solicitudes de participación y proposiciones</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o documento del registro de la oficina receptora donde conste el momento de presentación solicitudes de participación y de proposiciones</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o documento del registro de la oficina receptora donde conste el momento de presentación  de proposiciones.</w:t>
            </w:r>
          </w:p>
        </w:tc>
      </w:tr>
      <w:tr w:rsidR="00621CD3" w:rsidRPr="00621CD3" w:rsidTr="00621CD3">
        <w:trPr>
          <w:trHeight w:val="765"/>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Justificación de la constitución de garantía definitiva</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Justificación de la constitución de garantía definitiva</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 </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Justificación de la constitución de garantía definitiva</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Justificación de la constitución de garantía definitiva</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Justificación de la constitución de garantía definitiva</w:t>
            </w:r>
          </w:p>
        </w:tc>
      </w:tr>
      <w:tr w:rsidR="00621CD3" w:rsidRPr="00621CD3" w:rsidTr="00621CD3">
        <w:trPr>
          <w:trHeight w:val="3825"/>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lastRenderedPageBreak/>
              <w:t>Certificación expedida por el órgano de contratación acreditativa de  la personalidad jurídica del adjudicatario, clasificación o solvencia económica y financiera y solvencia técnica o profesional y de no estar incurso en prohibición de contratar y de cumplimiento de obligaciones tributarias y de  S.S.</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expedida por el órgano de contratación acreditativa de  la personalidad jurídica del adjudicatario, clasificación o solvencia económica y financiera y solvencia técnica o profesional y de no estar incurso en prohibición de contratar y de cumplimiento de obligaciones tributarias y de  S.S.</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expedida por el órgano de contratación acreditativa de  la personalidad jurídica del adjudicatario, clasificación o solvencia económica y financiera y solvencia técnica o profesional y de no estar incurso en prohibición de contratar y de cumplimiento de obligaciones tributarias y de  S.S.</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expedida por el órgano de contratación acreditativa de  la personalidad jurídica del adjudicatario, clasificación o solvencia económica y financiera y solvencia técnica o profesional y de no estar incurso en prohibición de contratar y de cumplimiento de obligaciones tributarias y de  S.S.</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expedida por el órgano de contratación acreditativa de  la personalidad jurídica del adjudicatario, clasificación o solvencia económica y financiera y solvencia técnica o profesional y de no estar incurso en prohibición de contratar y de cumplimiento de obligaciones tributarias y de  S.S.</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Certificación expedida por el órgano de contratación acreditativa de  la personalidad jurídica del adjudicatario, clasificación o solvencia económica y financiera y solvencia técnica o profesional y de no estar incurso en prohibición de contratar y de cumplimiento de obligaciones tributarias y de  S.S.</w:t>
            </w:r>
          </w:p>
        </w:tc>
      </w:tr>
      <w:tr w:rsidR="00621CD3" w:rsidRPr="00621CD3" w:rsidTr="00621CD3">
        <w:trPr>
          <w:trHeight w:val="2325"/>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lastRenderedPageBreak/>
              <w:t>Documentación del órgano de contratación que recoja todas las ofertas, su valoración justificando la elección de la económicamente más ventajosa y, en su caso, los informes técnicos.</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Documentación del órgano de contratación que recoja todas las ofertas, su valoración justificando la elección de la económicamente más ventajosa y, en su caso, los informes técnicos.</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Documentación del órgano de contratación que recoja todas las ofertas, su valoración justificando la elección de la económicamente más ventajosa y, en su caso, los informes técnicos.</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Documentación del órgano de contratación que recoja todas las ofertas, su valoración justificando la elección de la económicamente más ventajosa y, en su caso, los informes técnicos.</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Documentación del órgano de contratación que recoja todas las ofertas, justificación de la elegida como económicamente más ventajosa como consecuencia de las negociaciones y, en su caso, los informes técnicos.</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Documentación del órgano de contratación que recoja todas las ofertas, justificación de la elegida como económicamente más ventajosa como consecuencia de las negociaciones y, en su caso, los informes técnicos</w:t>
            </w:r>
          </w:p>
        </w:tc>
      </w:tr>
      <w:tr w:rsidR="00621CD3" w:rsidRPr="00621CD3" w:rsidTr="00621CD3">
        <w:trPr>
          <w:trHeight w:val="1020"/>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 xml:space="preserve">Adjudicación: </w:t>
            </w:r>
            <w:r w:rsidRPr="00621CD3">
              <w:rPr>
                <w:rFonts w:asciiTheme="minorHAnsi" w:hAnsiTheme="minorHAnsi" w:cs="Arial"/>
                <w:color w:val="000000"/>
                <w:szCs w:val="20"/>
                <w:lang w:val="es-ES_tradnl" w:eastAsia="es-ES_tradnl"/>
              </w:rPr>
              <w:br/>
              <w:t>notificaciones realizadas a los licitadores y al adjudicatario.</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Adjudicación: notificaciones realizadas a los licitadores y al adjudicatario.</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Adjudicación: notificaciones realizadas a los licitadores y al adjudicatario.</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Adjudicación: notificaciones realizadas a los licitadores y al adjudicatario.</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Adjudicación: notificaciones realizadas a los licitadores y al adjudicatario.</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szCs w:val="20"/>
                <w:lang w:val="es-ES_tradnl" w:eastAsia="es-ES_tradnl"/>
              </w:rPr>
            </w:pPr>
            <w:r w:rsidRPr="00621CD3">
              <w:rPr>
                <w:rFonts w:asciiTheme="minorHAnsi" w:hAnsiTheme="minorHAnsi" w:cs="Arial"/>
                <w:szCs w:val="20"/>
                <w:lang w:val="es-ES_tradnl" w:eastAsia="es-ES_tradnl"/>
              </w:rPr>
              <w:t xml:space="preserve">Adjudicación: </w:t>
            </w:r>
            <w:r w:rsidRPr="00621CD3">
              <w:rPr>
                <w:rFonts w:asciiTheme="minorHAnsi" w:hAnsiTheme="minorHAnsi" w:cs="Arial"/>
                <w:szCs w:val="20"/>
                <w:lang w:val="es-ES_tradnl" w:eastAsia="es-ES_tradnl"/>
              </w:rPr>
              <w:br/>
              <w:t>notificaciones realizadas a los licitadores y al adjudicatario.</w:t>
            </w:r>
          </w:p>
        </w:tc>
      </w:tr>
      <w:tr w:rsidR="00621CD3" w:rsidRPr="00621CD3" w:rsidTr="00621CD3">
        <w:trPr>
          <w:trHeight w:val="510"/>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Anuncios de publicación de la formalización.</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Anuncios de publicación de la formalización.</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Anuncios de publicación de la formalización.</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Anuncios de publicación de la formalización.</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Anuncios de publicación de la formalización.</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Anuncios de publicación de la formalización.</w:t>
            </w:r>
          </w:p>
        </w:tc>
      </w:tr>
      <w:tr w:rsidR="00621CD3" w:rsidRPr="00621CD3" w:rsidTr="00621CD3">
        <w:trPr>
          <w:trHeight w:val="510"/>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Contrato suscrito con el adjudicatario</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Contrato suscrito con el adjudicatario.</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Contrato suscrito con el adjudicatario.</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Contrato suscrito con el adjudicatario</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Contrato suscrito con el adjudicatario.</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Contrato suscrito con el adjudicatario.</w:t>
            </w:r>
          </w:p>
        </w:tc>
      </w:tr>
      <w:tr w:rsidR="00621CD3" w:rsidRPr="00621CD3" w:rsidTr="00621CD3">
        <w:trPr>
          <w:trHeight w:val="255"/>
        </w:trPr>
        <w:tc>
          <w:tcPr>
            <w:tcW w:w="1031" w:type="pct"/>
            <w:tcBorders>
              <w:top w:val="nil"/>
              <w:left w:val="single" w:sz="4" w:space="0" w:color="auto"/>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Acta de recepción</w:t>
            </w:r>
          </w:p>
        </w:tc>
        <w:tc>
          <w:tcPr>
            <w:tcW w:w="685"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Acta de recepción</w:t>
            </w:r>
          </w:p>
        </w:tc>
        <w:tc>
          <w:tcPr>
            <w:tcW w:w="674"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Acta de recepción</w:t>
            </w:r>
          </w:p>
        </w:tc>
        <w:tc>
          <w:tcPr>
            <w:tcW w:w="703"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Acta de recepción</w:t>
            </w:r>
          </w:p>
        </w:tc>
        <w:tc>
          <w:tcPr>
            <w:tcW w:w="726"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Acta de recepción</w:t>
            </w:r>
          </w:p>
        </w:tc>
        <w:tc>
          <w:tcPr>
            <w:tcW w:w="1181" w:type="pct"/>
            <w:tcBorders>
              <w:top w:val="nil"/>
              <w:left w:val="nil"/>
              <w:bottom w:val="single" w:sz="4" w:space="0" w:color="auto"/>
              <w:right w:val="single" w:sz="4" w:space="0" w:color="auto"/>
            </w:tcBorders>
            <w:shd w:val="clear" w:color="auto" w:fill="auto"/>
            <w:hideMark/>
          </w:tcPr>
          <w:p w:rsidR="00621CD3" w:rsidRPr="00621CD3" w:rsidRDefault="00621CD3" w:rsidP="00621CD3">
            <w:pPr>
              <w:rPr>
                <w:rFonts w:asciiTheme="minorHAnsi" w:hAnsiTheme="minorHAnsi" w:cs="Arial"/>
                <w:color w:val="000000"/>
                <w:szCs w:val="20"/>
                <w:lang w:val="es-ES_tradnl" w:eastAsia="es-ES_tradnl"/>
              </w:rPr>
            </w:pPr>
            <w:r w:rsidRPr="00621CD3">
              <w:rPr>
                <w:rFonts w:asciiTheme="minorHAnsi" w:hAnsiTheme="minorHAnsi" w:cs="Arial"/>
                <w:color w:val="000000"/>
                <w:szCs w:val="20"/>
                <w:lang w:val="es-ES_tradnl" w:eastAsia="es-ES_tradnl"/>
              </w:rPr>
              <w:t>Acta de recepción</w:t>
            </w:r>
          </w:p>
        </w:tc>
      </w:tr>
    </w:tbl>
    <w:p w:rsidR="00621CD3" w:rsidRDefault="00621CD3"/>
    <w:tbl>
      <w:tblPr>
        <w:tblW w:w="13260" w:type="dxa"/>
        <w:tblInd w:w="55" w:type="dxa"/>
        <w:tblCellMar>
          <w:left w:w="70" w:type="dxa"/>
          <w:right w:w="70" w:type="dxa"/>
        </w:tblCellMar>
        <w:tblLook w:val="04A0" w:firstRow="1" w:lastRow="0" w:firstColumn="1" w:lastColumn="0" w:noHBand="0" w:noVBand="1"/>
      </w:tblPr>
      <w:tblGrid>
        <w:gridCol w:w="13260"/>
      </w:tblGrid>
      <w:tr w:rsidR="005562F8" w:rsidRPr="001C5673" w:rsidTr="005562F8">
        <w:trPr>
          <w:trHeight w:val="255"/>
        </w:trPr>
        <w:tc>
          <w:tcPr>
            <w:tcW w:w="13260" w:type="dxa"/>
            <w:tcBorders>
              <w:top w:val="single" w:sz="4" w:space="0" w:color="auto"/>
              <w:left w:val="single" w:sz="4" w:space="0" w:color="auto"/>
              <w:bottom w:val="single" w:sz="4" w:space="0" w:color="auto"/>
              <w:right w:val="single" w:sz="4" w:space="0" w:color="000000"/>
            </w:tcBorders>
            <w:shd w:val="clear" w:color="auto" w:fill="auto"/>
            <w:hideMark/>
          </w:tcPr>
          <w:p w:rsidR="005562F8" w:rsidRPr="001C5673" w:rsidRDefault="005562F8" w:rsidP="005562F8">
            <w:pPr>
              <w:jc w:val="both"/>
              <w:rPr>
                <w:rFonts w:asciiTheme="minorHAnsi" w:hAnsiTheme="minorHAnsi" w:cs="Arial"/>
                <w:color w:val="000000"/>
                <w:szCs w:val="20"/>
                <w:lang w:val="es-ES_tradnl" w:eastAsia="es-ES_tradnl"/>
              </w:rPr>
            </w:pPr>
            <w:r w:rsidRPr="001C5673">
              <w:rPr>
                <w:rFonts w:asciiTheme="minorHAnsi" w:hAnsiTheme="minorHAnsi" w:cs="Arial"/>
                <w:color w:val="000000"/>
                <w:szCs w:val="20"/>
                <w:lang w:val="es-ES_tradnl" w:eastAsia="es-ES_tradnl"/>
              </w:rPr>
              <w:t>En procedimiento urgente, la declaración de urgencia</w:t>
            </w:r>
          </w:p>
        </w:tc>
      </w:tr>
      <w:tr w:rsidR="005562F8" w:rsidRPr="001C5673" w:rsidTr="005562F8">
        <w:trPr>
          <w:trHeight w:val="255"/>
        </w:trPr>
        <w:tc>
          <w:tcPr>
            <w:tcW w:w="13260" w:type="dxa"/>
            <w:tcBorders>
              <w:top w:val="nil"/>
              <w:left w:val="single" w:sz="4" w:space="0" w:color="auto"/>
              <w:bottom w:val="single" w:sz="4" w:space="0" w:color="auto"/>
              <w:right w:val="single" w:sz="4" w:space="0" w:color="auto"/>
            </w:tcBorders>
            <w:shd w:val="clear" w:color="auto" w:fill="auto"/>
            <w:hideMark/>
          </w:tcPr>
          <w:p w:rsidR="005562F8" w:rsidRPr="001C5673" w:rsidRDefault="005562F8" w:rsidP="00CD1164">
            <w:pPr>
              <w:rPr>
                <w:rFonts w:asciiTheme="minorHAnsi" w:hAnsiTheme="minorHAnsi" w:cs="Arial"/>
                <w:color w:val="000000"/>
                <w:szCs w:val="20"/>
                <w:lang w:val="es-ES_tradnl" w:eastAsia="es-ES_tradnl"/>
              </w:rPr>
            </w:pPr>
            <w:r w:rsidRPr="001C5673">
              <w:rPr>
                <w:rFonts w:asciiTheme="minorHAnsi" w:hAnsiTheme="minorHAnsi" w:cs="Arial"/>
                <w:color w:val="000000"/>
                <w:szCs w:val="20"/>
                <w:lang w:val="es-ES_tradnl" w:eastAsia="es-ES_tradnl"/>
              </w:rPr>
              <w:t xml:space="preserve">En el supuesto de que existan proposiciones consideradas anormales o desproporcionadas,  documentación acreditativa de la audiencia al licitador para la </w:t>
            </w:r>
            <w:r w:rsidRPr="001C5673">
              <w:rPr>
                <w:rFonts w:asciiTheme="minorHAnsi" w:hAnsiTheme="minorHAnsi" w:cs="Arial"/>
                <w:color w:val="000000"/>
                <w:szCs w:val="20"/>
                <w:lang w:val="es-ES_tradnl" w:eastAsia="es-ES_tradnl"/>
              </w:rPr>
              <w:lastRenderedPageBreak/>
              <w:t>justificación de las mismas</w:t>
            </w:r>
          </w:p>
        </w:tc>
      </w:tr>
      <w:tr w:rsidR="005562F8" w:rsidRPr="001C5673" w:rsidTr="005562F8">
        <w:trPr>
          <w:trHeight w:val="420"/>
        </w:trPr>
        <w:tc>
          <w:tcPr>
            <w:tcW w:w="13260" w:type="dxa"/>
            <w:tcBorders>
              <w:top w:val="single" w:sz="4" w:space="0" w:color="auto"/>
              <w:left w:val="single" w:sz="4" w:space="0" w:color="auto"/>
              <w:bottom w:val="single" w:sz="4" w:space="0" w:color="auto"/>
              <w:right w:val="single" w:sz="4" w:space="0" w:color="000000"/>
            </w:tcBorders>
            <w:shd w:val="clear" w:color="auto" w:fill="auto"/>
            <w:hideMark/>
          </w:tcPr>
          <w:p w:rsidR="005562F8" w:rsidRPr="001C5673" w:rsidRDefault="005562F8" w:rsidP="00CD1164">
            <w:pPr>
              <w:rPr>
                <w:rFonts w:asciiTheme="minorHAnsi" w:hAnsiTheme="minorHAnsi" w:cs="Arial"/>
                <w:szCs w:val="20"/>
                <w:lang w:val="es-ES_tradnl" w:eastAsia="es-ES_tradnl"/>
              </w:rPr>
            </w:pPr>
            <w:r w:rsidRPr="001C5673">
              <w:rPr>
                <w:rFonts w:asciiTheme="minorHAnsi" w:hAnsiTheme="minorHAnsi" w:cs="Arial"/>
                <w:szCs w:val="20"/>
                <w:lang w:val="es-ES_tradnl" w:eastAsia="es-ES_tradnl"/>
              </w:rPr>
              <w:lastRenderedPageBreak/>
              <w:t>Contratos menores (RDL 3/2011 - TRLCSP) de servicios o suministros (importe inferior a  18.000 euros),  copia de la factura abonada.</w:t>
            </w:r>
          </w:p>
        </w:tc>
      </w:tr>
      <w:tr w:rsidR="005562F8" w:rsidRPr="001C5673" w:rsidTr="005562F8">
        <w:trPr>
          <w:trHeight w:val="4560"/>
        </w:trPr>
        <w:tc>
          <w:tcPr>
            <w:tcW w:w="13260" w:type="dxa"/>
            <w:tcBorders>
              <w:top w:val="single" w:sz="4" w:space="0" w:color="auto"/>
              <w:left w:val="single" w:sz="4" w:space="0" w:color="auto"/>
              <w:bottom w:val="single" w:sz="4" w:space="0" w:color="auto"/>
              <w:right w:val="single" w:sz="4" w:space="0" w:color="000000"/>
            </w:tcBorders>
            <w:shd w:val="clear" w:color="auto" w:fill="auto"/>
            <w:hideMark/>
          </w:tcPr>
          <w:p w:rsidR="00CD1164" w:rsidRDefault="005562F8" w:rsidP="00CD1164">
            <w:bookmarkStart w:id="0" w:name="_GoBack" w:colFirst="0" w:colLast="0"/>
            <w:r w:rsidRPr="001C5673">
              <w:rPr>
                <w:rFonts w:asciiTheme="minorHAnsi" w:hAnsiTheme="minorHAnsi" w:cs="Arial"/>
                <w:szCs w:val="20"/>
                <w:u w:val="single"/>
                <w:lang w:val="es-ES_tradnl" w:eastAsia="es-ES_tradnl"/>
              </w:rPr>
              <w:t>Contratos menores (Ley 9/2017) de servicios o suministros:</w:t>
            </w:r>
            <w:r w:rsidR="00CD1164">
              <w:rPr>
                <w:rFonts w:asciiTheme="minorHAnsi" w:hAnsiTheme="minorHAnsi" w:cs="Arial"/>
                <w:szCs w:val="20"/>
                <w:u w:val="single"/>
                <w:lang w:val="es-ES_tradnl" w:eastAsia="es-ES_tradnl"/>
              </w:rPr>
              <w:t xml:space="preserve"> </w:t>
            </w:r>
            <w:r w:rsidR="00CD1164" w:rsidRPr="00AE6932">
              <w:rPr>
                <w:rFonts w:asciiTheme="minorHAnsi" w:hAnsiTheme="minorHAnsi" w:cs="Arial"/>
                <w:szCs w:val="20"/>
                <w:u w:val="single"/>
                <w:lang w:val="es-ES_tradnl" w:eastAsia="es-ES_tradnl"/>
              </w:rPr>
              <w:t>(</w:t>
            </w:r>
            <w:r w:rsidR="00CD1164" w:rsidRPr="00AE6932">
              <w:rPr>
                <w:rFonts w:asciiTheme="minorHAnsi" w:hAnsiTheme="minorHAnsi"/>
                <w:sz w:val="22"/>
              </w:rPr>
              <w:t xml:space="preserve">Deberá ser tenida en cuenta la </w:t>
            </w:r>
            <w:r w:rsidR="00CD1164" w:rsidRPr="00AE6932">
              <w:rPr>
                <w:rFonts w:asciiTheme="minorHAnsi" w:hAnsiTheme="minorHAnsi"/>
                <w:sz w:val="22"/>
              </w:rPr>
              <w:t>instrucción sobre contratos menores publi</w:t>
            </w:r>
            <w:r w:rsidR="00CD1164" w:rsidRPr="00AE6932">
              <w:rPr>
                <w:rFonts w:asciiTheme="minorHAnsi" w:hAnsiTheme="minorHAnsi"/>
                <w:sz w:val="22"/>
              </w:rPr>
              <w:t>cada en el BOE el día 7 de marzo</w:t>
            </w:r>
            <w:r w:rsidR="00CD1164" w:rsidRPr="00AE6932">
              <w:rPr>
                <w:color w:val="1F497D"/>
                <w:sz w:val="22"/>
              </w:rPr>
              <w:t xml:space="preserve"> </w:t>
            </w:r>
            <w:hyperlink r:id="rId7" w:history="1">
              <w:r w:rsidR="00CD1164">
                <w:rPr>
                  <w:rStyle w:val="Hipervnculo"/>
                </w:rPr>
                <w:t>https://www.boe.es/buscar/doc.ph</w:t>
              </w:r>
              <w:r w:rsidR="00CD1164">
                <w:rPr>
                  <w:rStyle w:val="Hipervnculo"/>
                </w:rPr>
                <w:t>p</w:t>
              </w:r>
              <w:r w:rsidR="00CD1164">
                <w:rPr>
                  <w:rStyle w:val="Hipervnculo"/>
                </w:rPr>
                <w:t>?id=BOE-A-2019-3281</w:t>
              </w:r>
            </w:hyperlink>
            <w:r w:rsidR="00CD1164">
              <w:t>)</w:t>
            </w:r>
          </w:p>
          <w:p w:rsidR="00CD1164" w:rsidRDefault="005562F8" w:rsidP="00CD1164">
            <w:pPr>
              <w:rPr>
                <w:rFonts w:asciiTheme="minorHAnsi" w:hAnsiTheme="minorHAnsi" w:cs="Arial"/>
                <w:szCs w:val="20"/>
                <w:lang w:val="es-ES_tradnl" w:eastAsia="es-ES_tradnl"/>
              </w:rPr>
            </w:pPr>
            <w:r w:rsidRPr="001C5673">
              <w:rPr>
                <w:rFonts w:asciiTheme="minorHAnsi" w:hAnsiTheme="minorHAnsi" w:cs="Arial"/>
                <w:szCs w:val="20"/>
                <w:lang w:val="es-ES_tradnl" w:eastAsia="es-ES_tradnl"/>
              </w:rPr>
              <w:br/>
            </w:r>
            <w:r w:rsidRPr="001C5673">
              <w:rPr>
                <w:rFonts w:asciiTheme="minorHAnsi" w:hAnsiTheme="minorHAnsi" w:cs="Arial"/>
                <w:szCs w:val="20"/>
                <w:lang w:val="es-ES_tradnl" w:eastAsia="es-ES_tradnl"/>
              </w:rPr>
              <w:br/>
              <w:t>1) Copia de la factura abonada</w:t>
            </w:r>
            <w:r w:rsidRPr="001C5673">
              <w:rPr>
                <w:rFonts w:asciiTheme="minorHAnsi" w:hAnsiTheme="minorHAnsi" w:cs="Arial"/>
                <w:szCs w:val="20"/>
                <w:lang w:val="es-ES_tradnl" w:eastAsia="es-ES_tradnl"/>
              </w:rPr>
              <w:br/>
              <w:t>2</w:t>
            </w:r>
            <w:r w:rsidR="00CD1164">
              <w:rPr>
                <w:rFonts w:asciiTheme="minorHAnsi" w:hAnsiTheme="minorHAnsi" w:cs="Arial"/>
                <w:szCs w:val="20"/>
                <w:lang w:val="es-ES_tradnl" w:eastAsia="es-ES_tradnl"/>
              </w:rPr>
              <w:t xml:space="preserve">) </w:t>
            </w:r>
            <w:r w:rsidR="00CD1164" w:rsidRPr="00CD1164">
              <w:rPr>
                <w:rFonts w:asciiTheme="minorHAnsi" w:hAnsiTheme="minorHAnsi" w:cs="Arial"/>
                <w:szCs w:val="20"/>
                <w:lang w:val="es-ES_tradnl" w:eastAsia="es-ES_tradnl"/>
              </w:rPr>
              <w:t xml:space="preserve">Memoria justificativa firmada por el órgano de contratación. Deberá justificarse la necesidad, que  no se está alterando el objeto del contrato para evitar la aplicación de las reglas generales de contratación y que el contratista no ha suscrito más contratos menores con igual objeto de manera que individual o conjuntamente superen la cifra indicada y publicación. </w:t>
            </w:r>
          </w:p>
          <w:p w:rsidR="005562F8" w:rsidRPr="001C5673" w:rsidRDefault="005562F8" w:rsidP="00CD1164">
            <w:pPr>
              <w:rPr>
                <w:rFonts w:asciiTheme="minorHAnsi" w:hAnsiTheme="minorHAnsi" w:cs="Arial"/>
                <w:szCs w:val="20"/>
                <w:lang w:val="es-ES_tradnl" w:eastAsia="es-ES_tradnl"/>
              </w:rPr>
            </w:pPr>
            <w:r w:rsidRPr="001C5673">
              <w:rPr>
                <w:rFonts w:asciiTheme="minorHAnsi" w:hAnsiTheme="minorHAnsi" w:cs="Arial"/>
                <w:szCs w:val="20"/>
                <w:lang w:val="es-ES_tradnl" w:eastAsia="es-ES_tradnl"/>
              </w:rPr>
              <w:t xml:space="preserve"> </w:t>
            </w:r>
            <w:r w:rsidRPr="001C5673">
              <w:rPr>
                <w:rFonts w:asciiTheme="minorHAnsi" w:hAnsiTheme="minorHAnsi" w:cs="Arial"/>
                <w:szCs w:val="20"/>
                <w:lang w:val="es-ES_tradnl" w:eastAsia="es-ES_tradnl"/>
              </w:rPr>
              <w:br/>
              <w:t>Atendiendo a la singular naturaleza de su actividad, como excepción al límite previsto en el artículo 118 de la Ley 9/2017, tendrán en todo caso la consideración de contratos menores los contratos de suministro o de servicios de valor estimado inferior o igual a 50.000 euros que se celebren por los agentes públicos del Sistema Español de Ciencia, Tecnología e Innovación, siempre que no vayan destinados a servicios generales y de infraestructura del órgano de contratación.</w:t>
            </w:r>
            <w:r w:rsidRPr="001C5673">
              <w:rPr>
                <w:rFonts w:asciiTheme="minorHAnsi" w:hAnsiTheme="minorHAnsi" w:cs="Arial"/>
                <w:szCs w:val="20"/>
                <w:lang w:val="es-ES_tradnl" w:eastAsia="es-ES_tradnl"/>
              </w:rPr>
              <w:br/>
            </w:r>
            <w:r w:rsidRPr="001C5673">
              <w:rPr>
                <w:rFonts w:asciiTheme="minorHAnsi" w:hAnsiTheme="minorHAnsi" w:cs="Arial"/>
                <w:szCs w:val="20"/>
                <w:lang w:val="es-ES_tradnl" w:eastAsia="es-ES_tradnl"/>
              </w:rPr>
              <w:br/>
              <w:t>A estos efectos, se entienden comprendidos entre los agentes públicos del Sistema Español de Ciencia, Tecnología e Innovación, en los términos establecidos en la Ley 14/2011, de 1 de junio, de la Ciencia, la Tecnología y la Innovación, las Universidades públicas, los Organismos Públicos de Investigación, fundaciones, consorcios y demás agentes de ejecución de la Administración General del Estado, los organismos y entidades de investigación similares a los anteriores dependientes de otras Administraciones Públicas, las Fundaciones de Investigación Biomédica, y los centros, instituciones y consorcios del Sistema Nacional de Salud.»</w:t>
            </w:r>
          </w:p>
        </w:tc>
      </w:tr>
      <w:bookmarkEnd w:id="0"/>
    </w:tbl>
    <w:p w:rsidR="005562F8" w:rsidRPr="005562F8" w:rsidRDefault="005562F8">
      <w:pPr>
        <w:rPr>
          <w:lang w:val="es-ES_tradnl"/>
        </w:rPr>
      </w:pPr>
    </w:p>
    <w:sectPr w:rsidR="005562F8" w:rsidRPr="005562F8" w:rsidSect="00621CD3">
      <w:head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D3" w:rsidRDefault="00621CD3" w:rsidP="00621CD3">
      <w:r>
        <w:separator/>
      </w:r>
    </w:p>
  </w:endnote>
  <w:endnote w:type="continuationSeparator" w:id="0">
    <w:p w:rsidR="00621CD3" w:rsidRDefault="00621CD3" w:rsidP="0062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D3" w:rsidRDefault="00621CD3" w:rsidP="00621CD3">
      <w:r>
        <w:separator/>
      </w:r>
    </w:p>
  </w:footnote>
  <w:footnote w:type="continuationSeparator" w:id="0">
    <w:p w:rsidR="00621CD3" w:rsidRDefault="00621CD3" w:rsidP="0062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1316"/>
      <w:gridCol w:w="2904"/>
    </w:tblGrid>
    <w:tr w:rsidR="00621CD3" w:rsidTr="00856BAE">
      <w:tc>
        <w:tcPr>
          <w:tcW w:w="3979" w:type="pct"/>
          <w:shd w:val="clear" w:color="auto" w:fill="auto"/>
        </w:tcPr>
        <w:p w:rsidR="00621CD3" w:rsidRDefault="00621CD3" w:rsidP="00856BAE">
          <w:pPr>
            <w:pStyle w:val="Encabezado"/>
          </w:pPr>
          <w:r>
            <w:rPr>
              <w:noProof/>
              <w:lang w:val="es-ES_tradnl" w:eastAsia="es-ES_tradnl"/>
            </w:rPr>
            <mc:AlternateContent>
              <mc:Choice Requires="wps">
                <w:drawing>
                  <wp:anchor distT="0" distB="0" distL="114300" distR="114300" simplePos="0" relativeHeight="251659264" behindDoc="0" locked="0" layoutInCell="1" allowOverlap="1">
                    <wp:simplePos x="0" y="0"/>
                    <wp:positionH relativeFrom="column">
                      <wp:posOffset>1052830</wp:posOffset>
                    </wp:positionH>
                    <wp:positionV relativeFrom="paragraph">
                      <wp:posOffset>155575</wp:posOffset>
                    </wp:positionV>
                    <wp:extent cx="2352040" cy="74358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040" cy="743585"/>
                            </a:xfrm>
                            <a:prstGeom prst="rect">
                              <a:avLst/>
                            </a:prstGeom>
                            <a:solidFill>
                              <a:sysClr val="window" lastClr="FFFFFF"/>
                            </a:solidFill>
                            <a:ln w="6350">
                              <a:noFill/>
                            </a:ln>
                            <a:effectLst/>
                          </wps:spPr>
                          <wps:txbx>
                            <w:txbxContent>
                              <w:p w:rsidR="00621CD3" w:rsidRPr="002B6505" w:rsidRDefault="00621CD3" w:rsidP="00621CD3">
                                <w:pPr>
                                  <w:spacing w:before="80"/>
                                  <w:rPr>
                                    <w:rFonts w:cs="Arial"/>
                                  </w:rPr>
                                </w:pPr>
                                <w:r w:rsidRPr="002B6505">
                                  <w:rPr>
                                    <w:rFonts w:cs="Arial"/>
                                  </w:rPr>
                                  <w:t>MINISTERIO DE CIENCIA, INNOVACIÓN Y UNIVERSIDADES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82.9pt;margin-top:12.25pt;width:185.2pt;height: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" fillcolor="window" stroked="f" strokeweight=".5pt">
                    <v:path arrowok="t"/>
                    <v:textbox>
                      <w:txbxContent>
                        <w:p w:rsidR="00621CD3" w:rsidRPr="002B6505" w:rsidRDefault="00621CD3" w:rsidP="00621CD3">
                          <w:pPr>
                            <w:spacing w:before="80"/>
                            <w:rPr>
                              <w:rFonts w:cs="Arial"/>
                            </w:rPr>
                          </w:pPr>
                          <w:r w:rsidRPr="002B6505">
                            <w:rPr>
                              <w:rFonts w:cs="Arial"/>
                            </w:rPr>
                            <w:t>MINISTERIO DE CIENCIA, INNOVACIÓN Y UNIVERSIDADES</w:t>
                          </w:r>
                        </w:p>
                      </w:txbxContent>
                    </v:textbox>
                  </v:shape>
                </w:pict>
              </mc:Fallback>
            </mc:AlternateContent>
          </w:r>
          <w:r>
            <w:rPr>
              <w:noProof/>
              <w:position w:val="12"/>
              <w:sz w:val="36"/>
              <w:lang w:val="es-ES_tradnl" w:eastAsia="es-ES_tradnl"/>
            </w:rPr>
            <w:drawing>
              <wp:inline distT="0" distB="0" distL="0" distR="0">
                <wp:extent cx="888365" cy="88011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r="67442"/>
                        <a:stretch>
                          <a:fillRect/>
                        </a:stretch>
                      </pic:blipFill>
                      <pic:spPr bwMode="auto">
                        <a:xfrm>
                          <a:off x="0" y="0"/>
                          <a:ext cx="888365" cy="880110"/>
                        </a:xfrm>
                        <a:prstGeom prst="rect">
                          <a:avLst/>
                        </a:prstGeom>
                        <a:noFill/>
                        <a:ln>
                          <a:noFill/>
                        </a:ln>
                      </pic:spPr>
                    </pic:pic>
                  </a:graphicData>
                </a:graphic>
              </wp:inline>
            </w:drawing>
          </w:r>
        </w:p>
      </w:tc>
      <w:tc>
        <w:tcPr>
          <w:tcW w:w="1021" w:type="pct"/>
          <w:shd w:val="clear" w:color="auto" w:fill="auto"/>
        </w:tcPr>
        <w:p w:rsidR="00621CD3" w:rsidRDefault="00621CD3" w:rsidP="00856BAE">
          <w:pPr>
            <w:pStyle w:val="Encabezado"/>
          </w:pPr>
          <w:r>
            <w:rPr>
              <w:rFonts w:ascii="Monotype Corsiva" w:hAnsi="Monotype Corsiva"/>
              <w:noProof/>
              <w:lang w:val="es-ES_tradnl" w:eastAsia="es-ES_tradnl"/>
            </w:rPr>
            <w:drawing>
              <wp:inline distT="0" distB="0" distL="0" distR="0">
                <wp:extent cx="655320" cy="8883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888365"/>
                        </a:xfrm>
                        <a:prstGeom prst="rect">
                          <a:avLst/>
                        </a:prstGeom>
                        <a:noFill/>
                        <a:ln>
                          <a:noFill/>
                        </a:ln>
                      </pic:spPr>
                    </pic:pic>
                  </a:graphicData>
                </a:graphic>
              </wp:inline>
            </w:drawing>
          </w:r>
        </w:p>
      </w:tc>
    </w:tr>
  </w:tbl>
  <w:p w:rsidR="00621CD3" w:rsidRDefault="00621C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D3"/>
    <w:rsid w:val="001C5673"/>
    <w:rsid w:val="00410465"/>
    <w:rsid w:val="005562F8"/>
    <w:rsid w:val="00621CD3"/>
    <w:rsid w:val="007E0DCC"/>
    <w:rsid w:val="00873927"/>
    <w:rsid w:val="00A1504A"/>
    <w:rsid w:val="00AE6932"/>
    <w:rsid w:val="00CD1164"/>
    <w:rsid w:val="00FC01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5C"/>
    <w:rPr>
      <w:rFonts w:ascii="Arial" w:hAnsi="Arial"/>
      <w:szCs w:val="24"/>
    </w:rPr>
  </w:style>
  <w:style w:type="paragraph" w:styleId="Ttulo1">
    <w:name w:val="heading 1"/>
    <w:basedOn w:val="Normal"/>
    <w:next w:val="Normal"/>
    <w:link w:val="Ttulo1Car"/>
    <w:qFormat/>
    <w:rsid w:val="00FC015C"/>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015C"/>
    <w:rPr>
      <w:rFonts w:ascii="Arial" w:hAnsi="Arial"/>
      <w:b/>
      <w:bCs/>
      <w:sz w:val="22"/>
      <w:szCs w:val="24"/>
    </w:rPr>
  </w:style>
  <w:style w:type="paragraph" w:styleId="Prrafodelista">
    <w:name w:val="List Paragraph"/>
    <w:basedOn w:val="Normal"/>
    <w:link w:val="PrrafodelistaCar"/>
    <w:uiPriority w:val="34"/>
    <w:qFormat/>
    <w:rsid w:val="00FC015C"/>
    <w:pPr>
      <w:ind w:left="720"/>
    </w:pPr>
    <w:rPr>
      <w:rFonts w:ascii="Calibri" w:eastAsia="Calibri" w:hAnsi="Calibri"/>
      <w:sz w:val="22"/>
      <w:szCs w:val="22"/>
    </w:rPr>
  </w:style>
  <w:style w:type="character" w:customStyle="1" w:styleId="PrrafodelistaCar">
    <w:name w:val="Párrafo de lista Car"/>
    <w:basedOn w:val="Fuentedeprrafopredeter"/>
    <w:link w:val="Prrafodelista"/>
    <w:uiPriority w:val="34"/>
    <w:qFormat/>
    <w:rsid w:val="00FC015C"/>
    <w:rPr>
      <w:rFonts w:ascii="Calibri" w:eastAsia="Calibri" w:hAnsi="Calibri"/>
      <w:sz w:val="22"/>
      <w:szCs w:val="22"/>
    </w:rPr>
  </w:style>
  <w:style w:type="paragraph" w:styleId="Encabezado">
    <w:name w:val="header"/>
    <w:basedOn w:val="Normal"/>
    <w:link w:val="EncabezadoCar"/>
    <w:uiPriority w:val="99"/>
    <w:unhideWhenUsed/>
    <w:rsid w:val="00621CD3"/>
    <w:pPr>
      <w:tabs>
        <w:tab w:val="center" w:pos="4252"/>
        <w:tab w:val="right" w:pos="8504"/>
      </w:tabs>
    </w:pPr>
  </w:style>
  <w:style w:type="character" w:customStyle="1" w:styleId="EncabezadoCar">
    <w:name w:val="Encabezado Car"/>
    <w:basedOn w:val="Fuentedeprrafopredeter"/>
    <w:link w:val="Encabezado"/>
    <w:uiPriority w:val="99"/>
    <w:rsid w:val="00621CD3"/>
    <w:rPr>
      <w:rFonts w:ascii="Arial" w:hAnsi="Arial"/>
      <w:szCs w:val="24"/>
    </w:rPr>
  </w:style>
  <w:style w:type="paragraph" w:styleId="Piedepgina">
    <w:name w:val="footer"/>
    <w:basedOn w:val="Normal"/>
    <w:link w:val="PiedepginaCar"/>
    <w:uiPriority w:val="99"/>
    <w:unhideWhenUsed/>
    <w:rsid w:val="00621CD3"/>
    <w:pPr>
      <w:tabs>
        <w:tab w:val="center" w:pos="4252"/>
        <w:tab w:val="right" w:pos="8504"/>
      </w:tabs>
    </w:pPr>
  </w:style>
  <w:style w:type="character" w:customStyle="1" w:styleId="PiedepginaCar">
    <w:name w:val="Pie de página Car"/>
    <w:basedOn w:val="Fuentedeprrafopredeter"/>
    <w:link w:val="Piedepgina"/>
    <w:uiPriority w:val="99"/>
    <w:rsid w:val="00621CD3"/>
    <w:rPr>
      <w:rFonts w:ascii="Arial" w:hAnsi="Arial"/>
      <w:szCs w:val="24"/>
    </w:rPr>
  </w:style>
  <w:style w:type="paragraph" w:styleId="Textodeglobo">
    <w:name w:val="Balloon Text"/>
    <w:basedOn w:val="Normal"/>
    <w:link w:val="TextodegloboCar"/>
    <w:uiPriority w:val="99"/>
    <w:semiHidden/>
    <w:unhideWhenUsed/>
    <w:rsid w:val="00621CD3"/>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CD3"/>
    <w:rPr>
      <w:rFonts w:ascii="Tahoma" w:hAnsi="Tahoma" w:cs="Tahoma"/>
      <w:sz w:val="16"/>
      <w:szCs w:val="16"/>
    </w:rPr>
  </w:style>
  <w:style w:type="paragraph" w:customStyle="1" w:styleId="Default">
    <w:name w:val="Default"/>
    <w:rsid w:val="00621CD3"/>
    <w:pPr>
      <w:autoSpaceDE w:val="0"/>
      <w:autoSpaceDN w:val="0"/>
      <w:adjustRightInd w:val="0"/>
    </w:pPr>
    <w:rPr>
      <w:rFonts w:ascii="Calibri" w:hAnsi="Calibri" w:cs="Calibri"/>
      <w:color w:val="000000"/>
      <w:sz w:val="24"/>
      <w:szCs w:val="24"/>
      <w:lang w:val="es-ES_tradnl"/>
    </w:rPr>
  </w:style>
  <w:style w:type="character" w:styleId="Hipervnculo">
    <w:name w:val="Hyperlink"/>
    <w:basedOn w:val="Fuentedeprrafopredeter"/>
    <w:uiPriority w:val="99"/>
    <w:semiHidden/>
    <w:unhideWhenUsed/>
    <w:rsid w:val="00CD1164"/>
    <w:rPr>
      <w:color w:val="0000FF"/>
      <w:u w:val="single"/>
    </w:rPr>
  </w:style>
  <w:style w:type="character" w:styleId="Hipervnculovisitado">
    <w:name w:val="FollowedHyperlink"/>
    <w:basedOn w:val="Fuentedeprrafopredeter"/>
    <w:uiPriority w:val="99"/>
    <w:semiHidden/>
    <w:unhideWhenUsed/>
    <w:rsid w:val="00CD11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5C"/>
    <w:rPr>
      <w:rFonts w:ascii="Arial" w:hAnsi="Arial"/>
      <w:szCs w:val="24"/>
    </w:rPr>
  </w:style>
  <w:style w:type="paragraph" w:styleId="Ttulo1">
    <w:name w:val="heading 1"/>
    <w:basedOn w:val="Normal"/>
    <w:next w:val="Normal"/>
    <w:link w:val="Ttulo1Car"/>
    <w:qFormat/>
    <w:rsid w:val="00FC015C"/>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015C"/>
    <w:rPr>
      <w:rFonts w:ascii="Arial" w:hAnsi="Arial"/>
      <w:b/>
      <w:bCs/>
      <w:sz w:val="22"/>
      <w:szCs w:val="24"/>
    </w:rPr>
  </w:style>
  <w:style w:type="paragraph" w:styleId="Prrafodelista">
    <w:name w:val="List Paragraph"/>
    <w:basedOn w:val="Normal"/>
    <w:link w:val="PrrafodelistaCar"/>
    <w:uiPriority w:val="34"/>
    <w:qFormat/>
    <w:rsid w:val="00FC015C"/>
    <w:pPr>
      <w:ind w:left="720"/>
    </w:pPr>
    <w:rPr>
      <w:rFonts w:ascii="Calibri" w:eastAsia="Calibri" w:hAnsi="Calibri"/>
      <w:sz w:val="22"/>
      <w:szCs w:val="22"/>
    </w:rPr>
  </w:style>
  <w:style w:type="character" w:customStyle="1" w:styleId="PrrafodelistaCar">
    <w:name w:val="Párrafo de lista Car"/>
    <w:basedOn w:val="Fuentedeprrafopredeter"/>
    <w:link w:val="Prrafodelista"/>
    <w:uiPriority w:val="34"/>
    <w:qFormat/>
    <w:rsid w:val="00FC015C"/>
    <w:rPr>
      <w:rFonts w:ascii="Calibri" w:eastAsia="Calibri" w:hAnsi="Calibri"/>
      <w:sz w:val="22"/>
      <w:szCs w:val="22"/>
    </w:rPr>
  </w:style>
  <w:style w:type="paragraph" w:styleId="Encabezado">
    <w:name w:val="header"/>
    <w:basedOn w:val="Normal"/>
    <w:link w:val="EncabezadoCar"/>
    <w:uiPriority w:val="99"/>
    <w:unhideWhenUsed/>
    <w:rsid w:val="00621CD3"/>
    <w:pPr>
      <w:tabs>
        <w:tab w:val="center" w:pos="4252"/>
        <w:tab w:val="right" w:pos="8504"/>
      </w:tabs>
    </w:pPr>
  </w:style>
  <w:style w:type="character" w:customStyle="1" w:styleId="EncabezadoCar">
    <w:name w:val="Encabezado Car"/>
    <w:basedOn w:val="Fuentedeprrafopredeter"/>
    <w:link w:val="Encabezado"/>
    <w:uiPriority w:val="99"/>
    <w:rsid w:val="00621CD3"/>
    <w:rPr>
      <w:rFonts w:ascii="Arial" w:hAnsi="Arial"/>
      <w:szCs w:val="24"/>
    </w:rPr>
  </w:style>
  <w:style w:type="paragraph" w:styleId="Piedepgina">
    <w:name w:val="footer"/>
    <w:basedOn w:val="Normal"/>
    <w:link w:val="PiedepginaCar"/>
    <w:uiPriority w:val="99"/>
    <w:unhideWhenUsed/>
    <w:rsid w:val="00621CD3"/>
    <w:pPr>
      <w:tabs>
        <w:tab w:val="center" w:pos="4252"/>
        <w:tab w:val="right" w:pos="8504"/>
      </w:tabs>
    </w:pPr>
  </w:style>
  <w:style w:type="character" w:customStyle="1" w:styleId="PiedepginaCar">
    <w:name w:val="Pie de página Car"/>
    <w:basedOn w:val="Fuentedeprrafopredeter"/>
    <w:link w:val="Piedepgina"/>
    <w:uiPriority w:val="99"/>
    <w:rsid w:val="00621CD3"/>
    <w:rPr>
      <w:rFonts w:ascii="Arial" w:hAnsi="Arial"/>
      <w:szCs w:val="24"/>
    </w:rPr>
  </w:style>
  <w:style w:type="paragraph" w:styleId="Textodeglobo">
    <w:name w:val="Balloon Text"/>
    <w:basedOn w:val="Normal"/>
    <w:link w:val="TextodegloboCar"/>
    <w:uiPriority w:val="99"/>
    <w:semiHidden/>
    <w:unhideWhenUsed/>
    <w:rsid w:val="00621CD3"/>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CD3"/>
    <w:rPr>
      <w:rFonts w:ascii="Tahoma" w:hAnsi="Tahoma" w:cs="Tahoma"/>
      <w:sz w:val="16"/>
      <w:szCs w:val="16"/>
    </w:rPr>
  </w:style>
  <w:style w:type="paragraph" w:customStyle="1" w:styleId="Default">
    <w:name w:val="Default"/>
    <w:rsid w:val="00621CD3"/>
    <w:pPr>
      <w:autoSpaceDE w:val="0"/>
      <w:autoSpaceDN w:val="0"/>
      <w:adjustRightInd w:val="0"/>
    </w:pPr>
    <w:rPr>
      <w:rFonts w:ascii="Calibri" w:hAnsi="Calibri" w:cs="Calibri"/>
      <w:color w:val="000000"/>
      <w:sz w:val="24"/>
      <w:szCs w:val="24"/>
      <w:lang w:val="es-ES_tradnl"/>
    </w:rPr>
  </w:style>
  <w:style w:type="character" w:styleId="Hipervnculo">
    <w:name w:val="Hyperlink"/>
    <w:basedOn w:val="Fuentedeprrafopredeter"/>
    <w:uiPriority w:val="99"/>
    <w:semiHidden/>
    <w:unhideWhenUsed/>
    <w:rsid w:val="00CD1164"/>
    <w:rPr>
      <w:color w:val="0000FF"/>
      <w:u w:val="single"/>
    </w:rPr>
  </w:style>
  <w:style w:type="character" w:styleId="Hipervnculovisitado">
    <w:name w:val="FollowedHyperlink"/>
    <w:basedOn w:val="Fuentedeprrafopredeter"/>
    <w:uiPriority w:val="99"/>
    <w:semiHidden/>
    <w:unhideWhenUsed/>
    <w:rsid w:val="00CD11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5713">
      <w:bodyDiv w:val="1"/>
      <w:marLeft w:val="0"/>
      <w:marRight w:val="0"/>
      <w:marTop w:val="0"/>
      <w:marBottom w:val="0"/>
      <w:divBdr>
        <w:top w:val="none" w:sz="0" w:space="0" w:color="auto"/>
        <w:left w:val="none" w:sz="0" w:space="0" w:color="auto"/>
        <w:bottom w:val="none" w:sz="0" w:space="0" w:color="auto"/>
        <w:right w:val="none" w:sz="0" w:space="0" w:color="auto"/>
      </w:divBdr>
    </w:div>
    <w:div w:id="1979527917">
      <w:bodyDiv w:val="1"/>
      <w:marLeft w:val="0"/>
      <w:marRight w:val="0"/>
      <w:marTop w:val="0"/>
      <w:marBottom w:val="0"/>
      <w:divBdr>
        <w:top w:val="none" w:sz="0" w:space="0" w:color="auto"/>
        <w:left w:val="none" w:sz="0" w:space="0" w:color="auto"/>
        <w:bottom w:val="none" w:sz="0" w:space="0" w:color="auto"/>
        <w:right w:val="none" w:sz="0" w:space="0" w:color="auto"/>
      </w:divBdr>
    </w:div>
    <w:div w:id="19907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e.es/buscar/doc.php?id=BOE-A-2019-32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1527</Words>
  <Characters>8402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Peñas Carral, M.Carmen</dc:creator>
  <cp:lastModifiedBy>Peñas Carral, M.Carmen</cp:lastModifiedBy>
  <cp:revision>5</cp:revision>
  <dcterms:created xsi:type="dcterms:W3CDTF">2018-12-10T16:44:00Z</dcterms:created>
  <dcterms:modified xsi:type="dcterms:W3CDTF">2019-03-29T08:03:00Z</dcterms:modified>
</cp:coreProperties>
</file>